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4A20B" w14:textId="77777777" w:rsidR="000E6A2C" w:rsidRPr="000E6A2C" w:rsidRDefault="000E6A2C" w:rsidP="000E6A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E6A2C">
        <w:rPr>
          <w:rFonts w:ascii="Times New Roman" w:eastAsia="Times New Roman" w:hAnsi="Times New Roman" w:cs="Times New Roman"/>
          <w:b/>
          <w:bCs/>
          <w:sz w:val="28"/>
          <w:szCs w:val="24"/>
        </w:rPr>
        <w:t>CRA Public File</w:t>
      </w:r>
    </w:p>
    <w:p w14:paraId="7E895509" w14:textId="77777777" w:rsidR="000E6A2C" w:rsidRPr="000E6A2C" w:rsidRDefault="000E6A2C" w:rsidP="000E6A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E6A2C">
        <w:rPr>
          <w:rFonts w:ascii="Times New Roman" w:eastAsia="Times New Roman" w:hAnsi="Times New Roman" w:cs="Times New Roman"/>
          <w:b/>
          <w:bCs/>
          <w:sz w:val="28"/>
          <w:szCs w:val="24"/>
        </w:rPr>
        <w:t>Milestone Bank</w:t>
      </w:r>
    </w:p>
    <w:p w14:paraId="759040B0" w14:textId="77777777" w:rsidR="000E6A2C" w:rsidRPr="000E6A2C" w:rsidRDefault="000E6A2C" w:rsidP="000E6A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E6A2C">
        <w:rPr>
          <w:rFonts w:ascii="Times New Roman" w:eastAsia="Times New Roman" w:hAnsi="Times New Roman" w:cs="Times New Roman"/>
          <w:b/>
          <w:bCs/>
          <w:sz w:val="28"/>
          <w:szCs w:val="24"/>
        </w:rPr>
        <w:t>Salt Lake City, UT</w:t>
      </w:r>
    </w:p>
    <w:p w14:paraId="3A0E9B0C" w14:textId="77777777" w:rsidR="000E6A2C" w:rsidRPr="000E6A2C" w:rsidRDefault="000E6A2C" w:rsidP="000E6A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5D5EDF9E" w14:textId="77777777" w:rsidR="000E6A2C" w:rsidRPr="000E6A2C" w:rsidRDefault="000E6A2C" w:rsidP="000E6A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1BB59C73" w14:textId="77777777" w:rsidR="000E6A2C" w:rsidRPr="000E6A2C" w:rsidRDefault="000E6A2C" w:rsidP="000E6A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213F9868" w14:textId="77777777" w:rsidR="000E6A2C" w:rsidRPr="000E6A2C" w:rsidRDefault="000E6A2C" w:rsidP="000E6A2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bookmarkStart w:id="0" w:name="_Toc159313677"/>
      <w:bookmarkStart w:id="1" w:name="_Toc159313755"/>
      <w:r w:rsidRPr="000E6A2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Map of Assessment Area</w:t>
      </w:r>
      <w:bookmarkEnd w:id="0"/>
      <w:bookmarkEnd w:id="1"/>
    </w:p>
    <w:p w14:paraId="1FC6A334" w14:textId="77777777" w:rsidR="000E6A2C" w:rsidRPr="000E6A2C" w:rsidRDefault="000E6A2C" w:rsidP="000E6A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6FB811" w14:textId="77777777" w:rsidR="000E6A2C" w:rsidRPr="000E6A2C" w:rsidRDefault="000E6A2C" w:rsidP="000E6A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6A2C">
        <w:rPr>
          <w:rFonts w:ascii="Times New Roman" w:eastAsia="Times New Roman" w:hAnsi="Times New Roman" w:cs="Times New Roman"/>
          <w:sz w:val="24"/>
          <w:szCs w:val="24"/>
        </w:rPr>
        <w:t xml:space="preserve">Milestone Bank has designated all of Salt Lake County, State of Utah as its “facility-based assessment area”.  </w:t>
      </w:r>
    </w:p>
    <w:p w14:paraId="32F5242A" w14:textId="77777777" w:rsidR="000E6A2C" w:rsidRPr="000E6A2C" w:rsidRDefault="000E6A2C" w:rsidP="000E6A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A10EB2" w14:textId="01793DBF" w:rsidR="00FB733B" w:rsidRDefault="000E6A2C" w:rsidP="000E6A2C">
      <w:pPr>
        <w:jc w:val="center"/>
      </w:pPr>
      <w:r w:rsidRPr="000E6A2C">
        <w:rPr>
          <w:rFonts w:ascii="Times New Roman" w:eastAsia="Times New Roman" w:hAnsi="Times New Roman" w:cs="Times New Roman"/>
          <w:sz w:val="24"/>
          <w:szCs w:val="24"/>
        </w:rPr>
        <w:t>[See insert that follows]</w:t>
      </w:r>
    </w:p>
    <w:sectPr w:rsidR="00FB73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A2C"/>
    <w:rsid w:val="000E6A2C"/>
    <w:rsid w:val="0097594E"/>
    <w:rsid w:val="00997ADF"/>
    <w:rsid w:val="00DE2D69"/>
    <w:rsid w:val="00FB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D4398"/>
  <w15:chartTrackingRefBased/>
  <w15:docId w15:val="{B3798976-C872-46CE-BBA0-6B96B415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Garrett</dc:creator>
  <cp:keywords/>
  <dc:description/>
  <cp:lastModifiedBy>Anita Garrett</cp:lastModifiedBy>
  <cp:revision>1</cp:revision>
  <dcterms:created xsi:type="dcterms:W3CDTF">2024-03-15T19:54:00Z</dcterms:created>
  <dcterms:modified xsi:type="dcterms:W3CDTF">2024-03-15T19:55:00Z</dcterms:modified>
</cp:coreProperties>
</file>